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10BD14">
      <w:pPr>
        <w:jc w:val="center"/>
        <w:rPr>
          <w:rFonts w:hint="eastAsia" w:ascii="宋体" w:hAnsi="宋体" w:eastAsia="宋体" w:cs="宋体"/>
          <w:b/>
          <w:bCs/>
          <w:sz w:val="32"/>
          <w:szCs w:val="32"/>
        </w:rPr>
      </w:pPr>
      <w:r>
        <w:rPr>
          <w:rFonts w:hint="eastAsia" w:ascii="宋体" w:hAnsi="宋体" w:eastAsia="宋体" w:cs="宋体"/>
          <w:b/>
          <w:bCs/>
          <w:sz w:val="32"/>
          <w:szCs w:val="32"/>
        </w:rPr>
        <w:t>宁波市北仑区中医院（宁波市北仑区中医院医疗健康服务集团总院）遴选病房陪护服务企业</w:t>
      </w:r>
      <w:r>
        <w:rPr>
          <w:rFonts w:hint="eastAsia" w:ascii="宋体" w:hAnsi="宋体" w:eastAsia="宋体" w:cs="宋体"/>
          <w:b/>
          <w:bCs/>
          <w:sz w:val="32"/>
          <w:szCs w:val="32"/>
        </w:rPr>
        <w:t>项目评分表</w:t>
      </w:r>
    </w:p>
    <w:tbl>
      <w:tblPr>
        <w:tblStyle w:val="5"/>
        <w:tblW w:w="0" w:type="auto"/>
        <w:tblInd w:w="0" w:type="dxa"/>
        <w:tblLayout w:type="autofit"/>
        <w:tblCellMar>
          <w:top w:w="0" w:type="dxa"/>
          <w:left w:w="108" w:type="dxa"/>
          <w:bottom w:w="0" w:type="dxa"/>
          <w:right w:w="108" w:type="dxa"/>
        </w:tblCellMar>
      </w:tblPr>
      <w:tblGrid>
        <w:gridCol w:w="936"/>
        <w:gridCol w:w="968"/>
        <w:gridCol w:w="5367"/>
        <w:gridCol w:w="1251"/>
      </w:tblGrid>
      <w:tr w14:paraId="29823B24">
        <w:tblPrEx>
          <w:tblCellMar>
            <w:top w:w="0" w:type="dxa"/>
            <w:left w:w="108" w:type="dxa"/>
            <w:bottom w:w="0" w:type="dxa"/>
            <w:right w:w="108" w:type="dxa"/>
          </w:tblCellMar>
        </w:tblPrEx>
        <w:trPr>
          <w:trHeight w:val="669" w:hRule="atLeast"/>
        </w:trPr>
        <w:tc>
          <w:tcPr>
            <w:tcW w:w="936" w:type="dxa"/>
            <w:tcBorders>
              <w:top w:val="single" w:color="auto" w:sz="4" w:space="0"/>
              <w:left w:val="single" w:color="auto" w:sz="4" w:space="0"/>
              <w:bottom w:val="single" w:color="auto" w:sz="4" w:space="0"/>
              <w:right w:val="single" w:color="auto" w:sz="4" w:space="0"/>
            </w:tcBorders>
            <w:shd w:val="clear" w:color="auto" w:fill="auto"/>
            <w:vAlign w:val="center"/>
          </w:tcPr>
          <w:p w14:paraId="3C327B83">
            <w:pPr>
              <w:rPr>
                <w:rFonts w:hint="eastAsia" w:ascii="宋体" w:hAnsi="宋体" w:eastAsia="宋体" w:cs="宋体"/>
                <w:sz w:val="24"/>
                <w:szCs w:val="24"/>
              </w:rPr>
            </w:pPr>
            <w:r>
              <w:rPr>
                <w:rFonts w:hint="eastAsia" w:ascii="宋体" w:hAnsi="宋体" w:eastAsia="宋体" w:cs="宋体"/>
                <w:sz w:val="24"/>
                <w:szCs w:val="24"/>
              </w:rPr>
              <w:t>评分项目</w:t>
            </w:r>
          </w:p>
        </w:tc>
        <w:tc>
          <w:tcPr>
            <w:tcW w:w="968" w:type="dxa"/>
            <w:tcBorders>
              <w:top w:val="single" w:color="auto" w:sz="4" w:space="0"/>
              <w:left w:val="nil"/>
              <w:bottom w:val="single" w:color="auto" w:sz="4" w:space="0"/>
              <w:right w:val="single" w:color="auto" w:sz="4" w:space="0"/>
            </w:tcBorders>
            <w:shd w:val="clear" w:color="auto" w:fill="auto"/>
            <w:vAlign w:val="center"/>
          </w:tcPr>
          <w:p w14:paraId="77B922DC">
            <w:pPr>
              <w:rPr>
                <w:rFonts w:hint="eastAsia" w:ascii="宋体" w:hAnsi="宋体" w:eastAsia="宋体" w:cs="宋体"/>
                <w:sz w:val="24"/>
                <w:szCs w:val="24"/>
              </w:rPr>
            </w:pPr>
            <w:r>
              <w:rPr>
                <w:rFonts w:hint="eastAsia" w:ascii="宋体" w:hAnsi="宋体" w:eastAsia="宋体" w:cs="宋体"/>
                <w:sz w:val="24"/>
                <w:szCs w:val="24"/>
              </w:rPr>
              <w:t>评标分项</w:t>
            </w:r>
          </w:p>
        </w:tc>
        <w:tc>
          <w:tcPr>
            <w:tcW w:w="5367" w:type="dxa"/>
            <w:tcBorders>
              <w:top w:val="single" w:color="auto" w:sz="4" w:space="0"/>
              <w:left w:val="nil"/>
              <w:bottom w:val="single" w:color="auto" w:sz="4" w:space="0"/>
              <w:right w:val="single" w:color="auto" w:sz="4" w:space="0"/>
            </w:tcBorders>
            <w:shd w:val="clear" w:color="auto" w:fill="auto"/>
            <w:vAlign w:val="center"/>
          </w:tcPr>
          <w:p w14:paraId="147B3CB3">
            <w:pPr>
              <w:jc w:val="center"/>
              <w:rPr>
                <w:rFonts w:hint="eastAsia" w:ascii="宋体" w:hAnsi="宋体" w:eastAsia="宋体" w:cs="宋体"/>
                <w:sz w:val="24"/>
                <w:szCs w:val="24"/>
              </w:rPr>
            </w:pPr>
            <w:r>
              <w:rPr>
                <w:rFonts w:hint="eastAsia" w:ascii="宋体" w:hAnsi="宋体" w:eastAsia="宋体" w:cs="宋体"/>
                <w:sz w:val="24"/>
                <w:szCs w:val="24"/>
              </w:rPr>
              <w:t>评议打分细则</w:t>
            </w:r>
          </w:p>
        </w:tc>
        <w:tc>
          <w:tcPr>
            <w:tcW w:w="1251" w:type="dxa"/>
            <w:tcBorders>
              <w:top w:val="single" w:color="auto" w:sz="4" w:space="0"/>
              <w:left w:val="nil"/>
              <w:bottom w:val="single" w:color="auto" w:sz="4" w:space="0"/>
              <w:right w:val="single" w:color="auto" w:sz="4" w:space="0"/>
            </w:tcBorders>
            <w:shd w:val="clear" w:color="auto" w:fill="auto"/>
            <w:vAlign w:val="center"/>
          </w:tcPr>
          <w:p w14:paraId="56D44C5C">
            <w:pPr>
              <w:jc w:val="center"/>
              <w:rPr>
                <w:rFonts w:hint="eastAsia" w:ascii="宋体" w:hAnsi="宋体" w:eastAsia="宋体" w:cs="宋体"/>
                <w:sz w:val="24"/>
                <w:szCs w:val="24"/>
              </w:rPr>
            </w:pPr>
            <w:r>
              <w:rPr>
                <w:rFonts w:hint="eastAsia" w:ascii="宋体" w:hAnsi="宋体" w:eastAsia="宋体" w:cs="宋体"/>
                <w:sz w:val="24"/>
                <w:szCs w:val="24"/>
              </w:rPr>
              <w:t>分值</w:t>
            </w:r>
          </w:p>
        </w:tc>
      </w:tr>
      <w:tr w14:paraId="5D4B5D4B">
        <w:tblPrEx>
          <w:tblCellMar>
            <w:top w:w="0" w:type="dxa"/>
            <w:left w:w="108" w:type="dxa"/>
            <w:bottom w:w="0" w:type="dxa"/>
            <w:right w:w="108" w:type="dxa"/>
          </w:tblCellMar>
        </w:tblPrEx>
        <w:trPr>
          <w:trHeight w:val="1500" w:hRule="atLeast"/>
        </w:trPr>
        <w:tc>
          <w:tcPr>
            <w:tcW w:w="936" w:type="dxa"/>
            <w:tcBorders>
              <w:top w:val="nil"/>
              <w:left w:val="single" w:color="auto" w:sz="4" w:space="0"/>
              <w:bottom w:val="single" w:color="auto" w:sz="4" w:space="0"/>
              <w:right w:val="single" w:color="auto" w:sz="4" w:space="0"/>
            </w:tcBorders>
            <w:shd w:val="clear" w:color="auto" w:fill="auto"/>
            <w:vAlign w:val="center"/>
          </w:tcPr>
          <w:p w14:paraId="0423A621">
            <w:pPr>
              <w:jc w:val="center"/>
              <w:rPr>
                <w:rFonts w:hint="eastAsia" w:ascii="宋体" w:hAnsi="宋体" w:eastAsia="宋体" w:cs="宋体"/>
                <w:sz w:val="24"/>
                <w:szCs w:val="24"/>
              </w:rPr>
            </w:pPr>
            <w:bookmarkStart w:id="0" w:name="_GoBack" w:colFirst="2" w:colLast="2"/>
            <w:r>
              <w:rPr>
                <w:rFonts w:hint="eastAsia" w:ascii="宋体" w:hAnsi="宋体" w:eastAsia="宋体" w:cs="宋体"/>
                <w:sz w:val="24"/>
                <w:szCs w:val="24"/>
              </w:rPr>
              <w:t>报价得分（20分）</w:t>
            </w:r>
          </w:p>
        </w:tc>
        <w:tc>
          <w:tcPr>
            <w:tcW w:w="968" w:type="dxa"/>
            <w:tcBorders>
              <w:top w:val="nil"/>
              <w:left w:val="nil"/>
              <w:bottom w:val="single" w:color="auto" w:sz="4" w:space="0"/>
              <w:right w:val="single" w:color="auto" w:sz="4" w:space="0"/>
            </w:tcBorders>
            <w:shd w:val="clear" w:color="auto" w:fill="auto"/>
            <w:vAlign w:val="center"/>
          </w:tcPr>
          <w:p w14:paraId="66A8EF7E">
            <w:pPr>
              <w:jc w:val="center"/>
              <w:rPr>
                <w:rFonts w:hint="eastAsia" w:ascii="宋体" w:hAnsi="宋体" w:eastAsia="宋体" w:cs="宋体"/>
                <w:sz w:val="24"/>
                <w:szCs w:val="24"/>
              </w:rPr>
            </w:pPr>
            <w:r>
              <w:rPr>
                <w:rFonts w:hint="eastAsia" w:ascii="宋体" w:hAnsi="宋体" w:eastAsia="宋体" w:cs="宋体"/>
                <w:sz w:val="24"/>
                <w:szCs w:val="24"/>
              </w:rPr>
              <w:t>项目报价</w:t>
            </w:r>
          </w:p>
        </w:tc>
        <w:tc>
          <w:tcPr>
            <w:tcW w:w="5367" w:type="dxa"/>
            <w:tcBorders>
              <w:top w:val="nil"/>
              <w:left w:val="nil"/>
              <w:bottom w:val="single" w:color="auto" w:sz="4" w:space="0"/>
              <w:right w:val="single" w:color="auto" w:sz="4" w:space="0"/>
            </w:tcBorders>
            <w:shd w:val="clear" w:color="auto" w:fill="auto"/>
            <w:vAlign w:val="center"/>
          </w:tcPr>
          <w:p w14:paraId="506FA41A">
            <w:pPr>
              <w:pStyle w:val="9"/>
              <w:jc w:val="left"/>
              <w:rPr>
                <w:rFonts w:hint="eastAsia" w:ascii="宋体" w:hAnsi="宋体" w:eastAsia="宋体" w:cs="宋体"/>
                <w:sz w:val="24"/>
                <w:szCs w:val="24"/>
              </w:rPr>
            </w:pPr>
            <w:r>
              <w:rPr>
                <w:rFonts w:hint="eastAsia" w:ascii="宋体" w:hAnsi="宋体" w:eastAsia="宋体" w:cs="宋体"/>
                <w:color w:val="auto"/>
                <w:sz w:val="24"/>
                <w:szCs w:val="24"/>
                <w:lang w:val="en-US" w:eastAsia="zh-CN"/>
              </w:rPr>
              <w:t>满足招标文件要求且投标价格最低的投标报价为评标基准价，其价格分为满分。其他投标供应商的价格分统一按照下列公式计算：投标报价得分=(评标基准价／投标报价)×20%×100</w:t>
            </w:r>
          </w:p>
        </w:tc>
        <w:tc>
          <w:tcPr>
            <w:tcW w:w="1251" w:type="dxa"/>
            <w:tcBorders>
              <w:top w:val="nil"/>
              <w:left w:val="nil"/>
              <w:bottom w:val="single" w:color="auto" w:sz="4" w:space="0"/>
              <w:right w:val="single" w:color="auto" w:sz="4" w:space="0"/>
            </w:tcBorders>
            <w:shd w:val="clear" w:color="auto" w:fill="auto"/>
            <w:vAlign w:val="center"/>
          </w:tcPr>
          <w:p w14:paraId="65F75A2D">
            <w:pPr>
              <w:jc w:val="center"/>
              <w:rPr>
                <w:rFonts w:hint="eastAsia" w:ascii="宋体" w:hAnsi="宋体" w:eastAsia="宋体" w:cs="宋体"/>
                <w:sz w:val="24"/>
                <w:szCs w:val="24"/>
              </w:rPr>
            </w:pPr>
            <w:r>
              <w:rPr>
                <w:rFonts w:hint="eastAsia" w:ascii="宋体" w:hAnsi="宋体" w:eastAsia="宋体" w:cs="宋体"/>
                <w:sz w:val="24"/>
                <w:szCs w:val="24"/>
              </w:rPr>
              <w:t>20</w:t>
            </w:r>
          </w:p>
        </w:tc>
      </w:tr>
      <w:tr w14:paraId="41078896">
        <w:tblPrEx>
          <w:tblCellMar>
            <w:top w:w="0" w:type="dxa"/>
            <w:left w:w="108" w:type="dxa"/>
            <w:bottom w:w="0" w:type="dxa"/>
            <w:right w:w="108" w:type="dxa"/>
          </w:tblCellMar>
        </w:tblPrEx>
        <w:trPr>
          <w:trHeight w:val="1872" w:hRule="atLeast"/>
        </w:trPr>
        <w:tc>
          <w:tcPr>
            <w:tcW w:w="936" w:type="dxa"/>
            <w:vMerge w:val="restart"/>
            <w:tcBorders>
              <w:top w:val="nil"/>
              <w:left w:val="single" w:color="auto" w:sz="4" w:space="0"/>
              <w:right w:val="single" w:color="auto" w:sz="4" w:space="0"/>
            </w:tcBorders>
            <w:shd w:val="clear" w:color="auto" w:fill="auto"/>
            <w:vAlign w:val="center"/>
          </w:tcPr>
          <w:p w14:paraId="1B86A4AD">
            <w:pPr>
              <w:jc w:val="center"/>
              <w:rPr>
                <w:rFonts w:hint="eastAsia" w:ascii="宋体" w:hAnsi="宋体" w:eastAsia="宋体" w:cs="宋体"/>
                <w:sz w:val="24"/>
                <w:szCs w:val="24"/>
              </w:rPr>
            </w:pPr>
            <w:r>
              <w:rPr>
                <w:rFonts w:hint="eastAsia" w:ascii="宋体" w:hAnsi="宋体" w:eastAsia="宋体" w:cs="宋体"/>
                <w:sz w:val="24"/>
                <w:szCs w:val="24"/>
              </w:rPr>
              <w:t>商务得分（</w:t>
            </w:r>
            <w:r>
              <w:rPr>
                <w:rFonts w:hint="eastAsia" w:ascii="宋体" w:hAnsi="宋体" w:eastAsia="宋体" w:cs="宋体"/>
                <w:sz w:val="24"/>
                <w:szCs w:val="24"/>
                <w:lang w:val="en-US" w:eastAsia="zh-CN"/>
              </w:rPr>
              <w:t>16</w:t>
            </w:r>
            <w:r>
              <w:rPr>
                <w:rFonts w:hint="eastAsia" w:ascii="宋体" w:hAnsi="宋体" w:eastAsia="宋体" w:cs="宋体"/>
                <w:sz w:val="24"/>
                <w:szCs w:val="24"/>
              </w:rPr>
              <w:t>分）</w:t>
            </w:r>
          </w:p>
        </w:tc>
        <w:tc>
          <w:tcPr>
            <w:tcW w:w="968" w:type="dxa"/>
            <w:tcBorders>
              <w:top w:val="nil"/>
              <w:left w:val="nil"/>
              <w:right w:val="nil"/>
            </w:tcBorders>
            <w:shd w:val="clear" w:color="auto" w:fill="auto"/>
            <w:noWrap/>
            <w:vAlign w:val="center"/>
          </w:tcPr>
          <w:p w14:paraId="724D1A9B">
            <w:pPr>
              <w:jc w:val="center"/>
              <w:rPr>
                <w:rFonts w:hint="eastAsia" w:ascii="宋体" w:hAnsi="宋体" w:eastAsia="宋体" w:cs="宋体"/>
                <w:sz w:val="24"/>
                <w:szCs w:val="24"/>
              </w:rPr>
            </w:pPr>
            <w:r>
              <w:rPr>
                <w:rFonts w:hint="eastAsia" w:ascii="宋体" w:hAnsi="宋体" w:eastAsia="宋体" w:cs="宋体"/>
                <w:sz w:val="24"/>
                <w:szCs w:val="24"/>
              </w:rPr>
              <w:t>项目业绩</w:t>
            </w:r>
          </w:p>
        </w:tc>
        <w:tc>
          <w:tcPr>
            <w:tcW w:w="5367" w:type="dxa"/>
            <w:tcBorders>
              <w:top w:val="nil"/>
              <w:left w:val="single" w:color="auto" w:sz="4" w:space="0"/>
              <w:right w:val="single" w:color="auto" w:sz="4" w:space="0"/>
            </w:tcBorders>
            <w:shd w:val="clear" w:color="auto" w:fill="auto"/>
            <w:vAlign w:val="center"/>
          </w:tcPr>
          <w:p w14:paraId="46CDB251">
            <w:pPr>
              <w:pStyle w:val="9"/>
              <w:jc w:val="left"/>
              <w:rPr>
                <w:rFonts w:hint="eastAsia" w:ascii="宋体" w:hAnsi="宋体" w:eastAsia="宋体" w:cs="宋体"/>
                <w:sz w:val="24"/>
                <w:szCs w:val="24"/>
              </w:rPr>
            </w:pPr>
            <w:r>
              <w:rPr>
                <w:rFonts w:hint="eastAsia" w:ascii="宋体" w:hAnsi="宋体" w:eastAsia="宋体" w:cs="宋体"/>
                <w:sz w:val="24"/>
                <w:szCs w:val="24"/>
              </w:rPr>
              <w:t>提供2024年1月1日至今二级及以上公立医院陪护同类业绩（合同签订时间为准）。需提供合同关键页复印件并加盖公章，每份有效业绩得2分，本项满分6分，无业绩得0分。</w:t>
            </w:r>
          </w:p>
        </w:tc>
        <w:tc>
          <w:tcPr>
            <w:tcW w:w="1251" w:type="dxa"/>
            <w:tcBorders>
              <w:top w:val="nil"/>
              <w:left w:val="nil"/>
              <w:bottom w:val="single" w:color="auto" w:sz="4" w:space="0"/>
              <w:right w:val="single" w:color="auto" w:sz="4" w:space="0"/>
            </w:tcBorders>
            <w:shd w:val="clear" w:color="auto" w:fill="auto"/>
            <w:vAlign w:val="center"/>
          </w:tcPr>
          <w:p w14:paraId="345F8ECB">
            <w:pPr>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6</w:t>
            </w:r>
          </w:p>
        </w:tc>
      </w:tr>
      <w:bookmarkEnd w:id="0"/>
      <w:tr w14:paraId="5B992032">
        <w:tblPrEx>
          <w:tblCellMar>
            <w:top w:w="0" w:type="dxa"/>
            <w:left w:w="108" w:type="dxa"/>
            <w:bottom w:w="0" w:type="dxa"/>
            <w:right w:w="108" w:type="dxa"/>
          </w:tblCellMar>
        </w:tblPrEx>
        <w:trPr>
          <w:trHeight w:val="1550" w:hRule="atLeast"/>
        </w:trPr>
        <w:tc>
          <w:tcPr>
            <w:tcW w:w="936" w:type="dxa"/>
            <w:vMerge w:val="continue"/>
            <w:tcBorders>
              <w:left w:val="single" w:color="auto" w:sz="4" w:space="0"/>
              <w:bottom w:val="single" w:color="000000" w:sz="4" w:space="0"/>
              <w:right w:val="single" w:color="auto" w:sz="4" w:space="0"/>
            </w:tcBorders>
            <w:vAlign w:val="center"/>
          </w:tcPr>
          <w:p w14:paraId="6EC29DC0">
            <w:pPr>
              <w:jc w:val="center"/>
              <w:rPr>
                <w:rFonts w:hint="eastAsia" w:ascii="宋体" w:hAnsi="宋体" w:eastAsia="宋体" w:cs="宋体"/>
                <w:sz w:val="24"/>
                <w:szCs w:val="24"/>
              </w:rPr>
            </w:pPr>
          </w:p>
        </w:tc>
        <w:tc>
          <w:tcPr>
            <w:tcW w:w="968" w:type="dxa"/>
            <w:tcBorders>
              <w:top w:val="nil"/>
              <w:left w:val="single" w:color="auto" w:sz="4" w:space="0"/>
              <w:bottom w:val="single" w:color="000000" w:sz="4" w:space="0"/>
              <w:right w:val="single" w:color="auto" w:sz="4" w:space="0"/>
            </w:tcBorders>
            <w:shd w:val="clear" w:color="auto" w:fill="auto"/>
            <w:vAlign w:val="center"/>
          </w:tcPr>
          <w:p w14:paraId="13DE4D35">
            <w:pPr>
              <w:jc w:val="center"/>
              <w:rPr>
                <w:rFonts w:hint="eastAsia" w:ascii="宋体" w:hAnsi="宋体" w:eastAsia="宋体" w:cs="宋体"/>
                <w:sz w:val="24"/>
                <w:szCs w:val="24"/>
              </w:rPr>
            </w:pPr>
            <w:r>
              <w:rPr>
                <w:rFonts w:hint="eastAsia" w:ascii="宋体" w:hAnsi="宋体" w:eastAsia="宋体" w:cs="宋体"/>
                <w:sz w:val="24"/>
                <w:szCs w:val="24"/>
              </w:rPr>
              <w:t>人员配置</w:t>
            </w:r>
          </w:p>
        </w:tc>
        <w:tc>
          <w:tcPr>
            <w:tcW w:w="5367" w:type="dxa"/>
            <w:tcBorders>
              <w:top w:val="single" w:color="auto" w:sz="4" w:space="0"/>
              <w:left w:val="nil"/>
              <w:bottom w:val="single" w:color="auto" w:sz="4" w:space="0"/>
              <w:right w:val="single" w:color="auto" w:sz="4" w:space="0"/>
            </w:tcBorders>
            <w:shd w:val="clear" w:color="auto" w:fill="auto"/>
            <w:vAlign w:val="center"/>
          </w:tcPr>
          <w:p w14:paraId="5C2BB2D4">
            <w:pPr>
              <w:pStyle w:val="9"/>
              <w:jc w:val="left"/>
              <w:rPr>
                <w:rFonts w:hint="eastAsia" w:ascii="宋体" w:hAnsi="宋体" w:eastAsia="宋体" w:cs="宋体"/>
                <w:sz w:val="24"/>
                <w:szCs w:val="24"/>
              </w:rPr>
            </w:pPr>
            <w:r>
              <w:rPr>
                <w:rFonts w:hint="eastAsia" w:ascii="宋体" w:hAnsi="宋体" w:eastAsia="宋体" w:cs="宋体"/>
                <w:sz w:val="24"/>
                <w:szCs w:val="24"/>
              </w:rPr>
              <w:t>人员配置充足、分工清晰、岗位合理、从业经验丰富，得10分；</w:t>
            </w:r>
          </w:p>
          <w:p w14:paraId="4FA23CBC">
            <w:pPr>
              <w:pStyle w:val="9"/>
              <w:jc w:val="left"/>
              <w:rPr>
                <w:rFonts w:hint="eastAsia" w:ascii="宋体" w:hAnsi="宋体" w:eastAsia="宋体" w:cs="宋体"/>
                <w:sz w:val="24"/>
                <w:szCs w:val="24"/>
              </w:rPr>
            </w:pPr>
            <w:r>
              <w:rPr>
                <w:rFonts w:hint="eastAsia" w:ascii="宋体" w:hAnsi="宋体" w:eastAsia="宋体" w:cs="宋体"/>
                <w:sz w:val="24"/>
                <w:szCs w:val="24"/>
              </w:rPr>
              <w:t>人员配置基本充足、分工基本合理，得6分；</w:t>
            </w:r>
          </w:p>
          <w:p w14:paraId="1DF9510F">
            <w:pPr>
              <w:pStyle w:val="9"/>
              <w:jc w:val="left"/>
              <w:rPr>
                <w:rFonts w:hint="eastAsia" w:ascii="宋体" w:hAnsi="宋体" w:eastAsia="宋体" w:cs="宋体"/>
                <w:sz w:val="24"/>
                <w:szCs w:val="24"/>
              </w:rPr>
            </w:pPr>
            <w:r>
              <w:rPr>
                <w:rFonts w:hint="eastAsia" w:ascii="宋体" w:hAnsi="宋体" w:eastAsia="宋体" w:cs="宋体"/>
                <w:sz w:val="24"/>
                <w:szCs w:val="24"/>
              </w:rPr>
              <w:t>人员配置不足、分工模糊、经验欠缺，得2分；</w:t>
            </w:r>
          </w:p>
          <w:p w14:paraId="2F9A2721">
            <w:pPr>
              <w:pStyle w:val="9"/>
              <w:jc w:val="left"/>
              <w:rPr>
                <w:rFonts w:hint="eastAsia" w:ascii="宋体" w:hAnsi="宋体" w:eastAsia="宋体" w:cs="宋体"/>
                <w:sz w:val="24"/>
                <w:szCs w:val="24"/>
              </w:rPr>
            </w:pPr>
            <w:r>
              <w:rPr>
                <w:rFonts w:hint="eastAsia" w:ascii="宋体" w:hAnsi="宋体" w:eastAsia="宋体" w:cs="宋体"/>
                <w:sz w:val="24"/>
                <w:szCs w:val="24"/>
              </w:rPr>
              <w:t>未提供方案得0分。</w:t>
            </w:r>
          </w:p>
        </w:tc>
        <w:tc>
          <w:tcPr>
            <w:tcW w:w="1251" w:type="dxa"/>
            <w:tcBorders>
              <w:top w:val="single" w:color="auto" w:sz="4" w:space="0"/>
              <w:left w:val="nil"/>
              <w:bottom w:val="single" w:color="auto" w:sz="4" w:space="0"/>
              <w:right w:val="single" w:color="auto" w:sz="4" w:space="0"/>
            </w:tcBorders>
            <w:shd w:val="clear" w:color="auto" w:fill="auto"/>
            <w:vAlign w:val="center"/>
          </w:tcPr>
          <w:p w14:paraId="47DBF029">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w:t>
            </w:r>
          </w:p>
        </w:tc>
      </w:tr>
      <w:tr w14:paraId="7F547C9E">
        <w:tblPrEx>
          <w:tblCellMar>
            <w:top w:w="0" w:type="dxa"/>
            <w:left w:w="108" w:type="dxa"/>
            <w:bottom w:w="0" w:type="dxa"/>
            <w:right w:w="108" w:type="dxa"/>
          </w:tblCellMar>
        </w:tblPrEx>
        <w:trPr>
          <w:trHeight w:val="750" w:hRule="atLeast"/>
        </w:trPr>
        <w:tc>
          <w:tcPr>
            <w:tcW w:w="936" w:type="dxa"/>
            <w:vMerge w:val="restart"/>
            <w:tcBorders>
              <w:top w:val="nil"/>
              <w:left w:val="single" w:color="auto" w:sz="4" w:space="0"/>
              <w:bottom w:val="nil"/>
              <w:right w:val="single" w:color="auto" w:sz="4" w:space="0"/>
            </w:tcBorders>
            <w:shd w:val="clear" w:color="auto" w:fill="auto"/>
            <w:vAlign w:val="center"/>
          </w:tcPr>
          <w:p w14:paraId="226870A1">
            <w:pPr>
              <w:jc w:val="center"/>
              <w:rPr>
                <w:rFonts w:hint="eastAsia" w:ascii="宋体" w:hAnsi="宋体" w:eastAsia="宋体" w:cs="宋体"/>
                <w:sz w:val="24"/>
                <w:szCs w:val="24"/>
              </w:rPr>
            </w:pPr>
            <w:r>
              <w:rPr>
                <w:rFonts w:hint="eastAsia" w:ascii="宋体" w:hAnsi="宋体" w:eastAsia="宋体" w:cs="宋体"/>
                <w:sz w:val="24"/>
                <w:szCs w:val="24"/>
              </w:rPr>
              <w:t>技术得分（</w:t>
            </w:r>
            <w:r>
              <w:rPr>
                <w:rFonts w:hint="eastAsia" w:ascii="宋体" w:hAnsi="宋体" w:eastAsia="宋体" w:cs="宋体"/>
                <w:sz w:val="24"/>
                <w:szCs w:val="24"/>
                <w:lang w:val="en-US" w:eastAsia="zh-CN"/>
              </w:rPr>
              <w:t>64</w:t>
            </w:r>
            <w:r>
              <w:rPr>
                <w:rFonts w:hint="eastAsia" w:ascii="宋体" w:hAnsi="宋体" w:eastAsia="宋体" w:cs="宋体"/>
                <w:sz w:val="24"/>
                <w:szCs w:val="24"/>
              </w:rPr>
              <w:t>）</w:t>
            </w:r>
          </w:p>
        </w:tc>
        <w:tc>
          <w:tcPr>
            <w:tcW w:w="968" w:type="dxa"/>
            <w:tcBorders>
              <w:top w:val="nil"/>
              <w:left w:val="nil"/>
              <w:bottom w:val="single" w:color="auto" w:sz="4" w:space="0"/>
              <w:right w:val="single" w:color="auto" w:sz="4" w:space="0"/>
            </w:tcBorders>
            <w:shd w:val="clear" w:color="auto" w:fill="auto"/>
            <w:noWrap/>
            <w:vAlign w:val="center"/>
          </w:tcPr>
          <w:p w14:paraId="1BB5956D">
            <w:pPr>
              <w:jc w:val="center"/>
              <w:rPr>
                <w:rFonts w:hint="eastAsia" w:ascii="宋体" w:hAnsi="宋体" w:eastAsia="宋体" w:cs="宋体"/>
                <w:sz w:val="24"/>
                <w:szCs w:val="24"/>
              </w:rPr>
            </w:pPr>
            <w:r>
              <w:rPr>
                <w:rFonts w:hint="eastAsia" w:ascii="宋体" w:hAnsi="宋体" w:eastAsia="宋体" w:cs="宋体"/>
                <w:sz w:val="24"/>
                <w:szCs w:val="24"/>
              </w:rPr>
              <w:t>项目理解</w:t>
            </w:r>
          </w:p>
        </w:tc>
        <w:tc>
          <w:tcPr>
            <w:tcW w:w="5367" w:type="dxa"/>
            <w:tcBorders>
              <w:top w:val="nil"/>
              <w:left w:val="nil"/>
              <w:bottom w:val="single" w:color="auto" w:sz="4" w:space="0"/>
              <w:right w:val="single" w:color="auto" w:sz="4" w:space="0"/>
            </w:tcBorders>
            <w:shd w:val="clear" w:color="auto" w:fill="auto"/>
            <w:noWrap/>
            <w:vAlign w:val="center"/>
          </w:tcPr>
          <w:p w14:paraId="20322E46">
            <w:pPr>
              <w:pStyle w:val="9"/>
              <w:jc w:val="left"/>
              <w:rPr>
                <w:rFonts w:hint="eastAsia" w:ascii="宋体" w:hAnsi="宋体" w:eastAsia="宋体" w:cs="宋体"/>
                <w:sz w:val="24"/>
                <w:szCs w:val="24"/>
              </w:rPr>
            </w:pPr>
            <w:r>
              <w:rPr>
                <w:rFonts w:hint="eastAsia" w:ascii="宋体" w:hAnsi="宋体" w:eastAsia="宋体" w:cs="宋体"/>
                <w:sz w:val="24"/>
                <w:szCs w:val="24"/>
              </w:rPr>
              <w:t>投标人根据本项目服务需求及项目实际情况，对本项目理解透彻、重难点分析到位、应对措施合理，切合实际，完全满足本项目服务需求，得10分；</w:t>
            </w:r>
          </w:p>
          <w:p w14:paraId="4025E555">
            <w:pPr>
              <w:pStyle w:val="9"/>
              <w:jc w:val="left"/>
              <w:rPr>
                <w:rFonts w:hint="eastAsia" w:ascii="宋体" w:hAnsi="宋体" w:eastAsia="宋体" w:cs="宋体"/>
                <w:sz w:val="24"/>
                <w:szCs w:val="24"/>
              </w:rPr>
            </w:pPr>
            <w:r>
              <w:rPr>
                <w:rFonts w:hint="eastAsia" w:ascii="宋体" w:hAnsi="宋体" w:eastAsia="宋体" w:cs="宋体"/>
                <w:sz w:val="24"/>
                <w:szCs w:val="24"/>
              </w:rPr>
              <w:t>对本项目理解较透彻、重难点分析较到位、应对措施较合理，基本切合实际，基本满足本项目采购需求，得</w:t>
            </w:r>
            <w:r>
              <w:rPr>
                <w:rFonts w:hint="eastAsia" w:ascii="宋体" w:hAnsi="宋体" w:eastAsia="宋体" w:cs="宋体"/>
                <w:sz w:val="24"/>
                <w:szCs w:val="24"/>
                <w:lang w:val="en-US" w:eastAsia="zh-CN"/>
              </w:rPr>
              <w:t>8</w:t>
            </w:r>
            <w:r>
              <w:rPr>
                <w:rFonts w:hint="eastAsia" w:ascii="宋体" w:hAnsi="宋体" w:eastAsia="宋体" w:cs="宋体"/>
                <w:sz w:val="24"/>
                <w:szCs w:val="24"/>
              </w:rPr>
              <w:t>分；</w:t>
            </w:r>
          </w:p>
          <w:p w14:paraId="08DBC6AC">
            <w:pPr>
              <w:pStyle w:val="9"/>
              <w:jc w:val="left"/>
              <w:rPr>
                <w:rFonts w:hint="eastAsia" w:ascii="宋体" w:hAnsi="宋体" w:eastAsia="宋体" w:cs="宋体"/>
                <w:sz w:val="24"/>
                <w:szCs w:val="24"/>
              </w:rPr>
            </w:pPr>
            <w:r>
              <w:rPr>
                <w:rFonts w:hint="eastAsia" w:ascii="宋体" w:hAnsi="宋体" w:eastAsia="宋体" w:cs="宋体"/>
                <w:sz w:val="24"/>
                <w:szCs w:val="24"/>
              </w:rPr>
              <w:t>对本项目理解较差、重难点分析一般、应对措施较差，较切合实际，较满足本项目采购需求，得5分；</w:t>
            </w:r>
          </w:p>
          <w:p w14:paraId="72617153">
            <w:pPr>
              <w:pStyle w:val="9"/>
              <w:jc w:val="left"/>
              <w:rPr>
                <w:rFonts w:hint="eastAsia" w:ascii="宋体" w:hAnsi="宋体" w:eastAsia="宋体" w:cs="宋体"/>
                <w:sz w:val="24"/>
                <w:szCs w:val="24"/>
              </w:rPr>
            </w:pPr>
            <w:r>
              <w:rPr>
                <w:rFonts w:hint="eastAsia" w:ascii="宋体" w:hAnsi="宋体" w:eastAsia="宋体" w:cs="宋体"/>
                <w:sz w:val="24"/>
                <w:szCs w:val="24"/>
              </w:rPr>
              <w:t>对本项目理解不透彻、重难点分析简单，不切合实际，不满足本项目采购需求，得</w:t>
            </w:r>
            <w:r>
              <w:rPr>
                <w:rFonts w:hint="eastAsia" w:ascii="宋体" w:hAnsi="宋体" w:eastAsia="宋体" w:cs="宋体"/>
                <w:sz w:val="24"/>
                <w:szCs w:val="24"/>
                <w:lang w:val="en-US" w:eastAsia="zh-CN"/>
              </w:rPr>
              <w:t>2</w:t>
            </w:r>
            <w:r>
              <w:rPr>
                <w:rFonts w:hint="eastAsia" w:ascii="宋体" w:hAnsi="宋体" w:eastAsia="宋体" w:cs="宋体"/>
                <w:sz w:val="24"/>
                <w:szCs w:val="24"/>
              </w:rPr>
              <w:t>分；</w:t>
            </w:r>
          </w:p>
          <w:p w14:paraId="1F4569E0">
            <w:pPr>
              <w:jc w:val="left"/>
              <w:rPr>
                <w:rFonts w:hint="eastAsia" w:ascii="宋体" w:hAnsi="宋体" w:eastAsia="宋体" w:cs="宋体"/>
                <w:sz w:val="24"/>
                <w:szCs w:val="24"/>
              </w:rPr>
            </w:pPr>
            <w:r>
              <w:rPr>
                <w:rFonts w:hint="eastAsia" w:ascii="宋体" w:hAnsi="宋体" w:eastAsia="宋体" w:cs="宋体"/>
                <w:sz w:val="24"/>
                <w:szCs w:val="24"/>
              </w:rPr>
              <w:t>未提供的得0分。</w:t>
            </w:r>
          </w:p>
        </w:tc>
        <w:tc>
          <w:tcPr>
            <w:tcW w:w="1251" w:type="dxa"/>
            <w:tcBorders>
              <w:top w:val="nil"/>
              <w:left w:val="nil"/>
              <w:bottom w:val="single" w:color="auto" w:sz="4" w:space="0"/>
              <w:right w:val="single" w:color="auto" w:sz="4" w:space="0"/>
            </w:tcBorders>
            <w:shd w:val="clear" w:color="auto" w:fill="auto"/>
            <w:vAlign w:val="center"/>
          </w:tcPr>
          <w:p w14:paraId="44FB7F6E">
            <w:pPr>
              <w:jc w:val="center"/>
              <w:rPr>
                <w:rFonts w:hint="eastAsia" w:ascii="宋体" w:hAnsi="宋体" w:eastAsia="宋体" w:cs="宋体"/>
                <w:sz w:val="24"/>
                <w:szCs w:val="24"/>
              </w:rPr>
            </w:pPr>
            <w:r>
              <w:rPr>
                <w:rFonts w:hint="eastAsia" w:ascii="宋体" w:hAnsi="宋体" w:eastAsia="宋体" w:cs="宋体"/>
                <w:sz w:val="24"/>
                <w:szCs w:val="24"/>
              </w:rPr>
              <w:t>10</w:t>
            </w:r>
          </w:p>
        </w:tc>
      </w:tr>
      <w:tr w14:paraId="71430F2D">
        <w:tblPrEx>
          <w:tblCellMar>
            <w:top w:w="0" w:type="dxa"/>
            <w:left w:w="108" w:type="dxa"/>
            <w:bottom w:w="0" w:type="dxa"/>
            <w:right w:w="108" w:type="dxa"/>
          </w:tblCellMar>
        </w:tblPrEx>
        <w:trPr>
          <w:trHeight w:val="1125" w:hRule="atLeast"/>
        </w:trPr>
        <w:tc>
          <w:tcPr>
            <w:tcW w:w="936" w:type="dxa"/>
            <w:vMerge w:val="continue"/>
            <w:tcBorders>
              <w:top w:val="nil"/>
              <w:left w:val="single" w:color="auto" w:sz="4" w:space="0"/>
              <w:bottom w:val="nil"/>
              <w:right w:val="single" w:color="auto" w:sz="4" w:space="0"/>
            </w:tcBorders>
            <w:vAlign w:val="center"/>
          </w:tcPr>
          <w:p w14:paraId="673DBB8C">
            <w:pPr>
              <w:jc w:val="center"/>
              <w:rPr>
                <w:rFonts w:hint="eastAsia" w:ascii="宋体" w:hAnsi="宋体" w:eastAsia="宋体" w:cs="宋体"/>
                <w:sz w:val="24"/>
                <w:szCs w:val="24"/>
              </w:rPr>
            </w:pPr>
          </w:p>
        </w:tc>
        <w:tc>
          <w:tcPr>
            <w:tcW w:w="968" w:type="dxa"/>
            <w:tcBorders>
              <w:top w:val="nil"/>
              <w:left w:val="nil"/>
              <w:bottom w:val="single" w:color="auto" w:sz="4" w:space="0"/>
              <w:right w:val="single" w:color="auto" w:sz="4" w:space="0"/>
            </w:tcBorders>
            <w:shd w:val="clear" w:color="auto" w:fill="auto"/>
            <w:vAlign w:val="center"/>
          </w:tcPr>
          <w:p w14:paraId="4650D754">
            <w:pPr>
              <w:jc w:val="center"/>
              <w:rPr>
                <w:rFonts w:hint="eastAsia" w:ascii="宋体" w:hAnsi="宋体" w:eastAsia="宋体" w:cs="宋体"/>
                <w:sz w:val="24"/>
                <w:szCs w:val="24"/>
              </w:rPr>
            </w:pPr>
            <w:r>
              <w:rPr>
                <w:rFonts w:hint="eastAsia" w:ascii="宋体" w:hAnsi="宋体" w:eastAsia="宋体" w:cs="宋体"/>
                <w:sz w:val="24"/>
                <w:szCs w:val="24"/>
              </w:rPr>
              <w:t>组织实施方案</w:t>
            </w:r>
          </w:p>
        </w:tc>
        <w:tc>
          <w:tcPr>
            <w:tcW w:w="5367" w:type="dxa"/>
            <w:tcBorders>
              <w:top w:val="nil"/>
              <w:left w:val="nil"/>
              <w:bottom w:val="single" w:color="auto" w:sz="4" w:space="0"/>
              <w:right w:val="single" w:color="auto" w:sz="4" w:space="0"/>
            </w:tcBorders>
            <w:shd w:val="clear" w:color="auto" w:fill="auto"/>
            <w:vAlign w:val="center"/>
          </w:tcPr>
          <w:p w14:paraId="266199D1">
            <w:pPr>
              <w:pStyle w:val="9"/>
              <w:jc w:val="left"/>
              <w:rPr>
                <w:rFonts w:hint="eastAsia" w:ascii="宋体" w:hAnsi="宋体" w:eastAsia="宋体" w:cs="宋体"/>
                <w:sz w:val="24"/>
                <w:szCs w:val="24"/>
              </w:rPr>
            </w:pPr>
            <w:r>
              <w:rPr>
                <w:rFonts w:hint="eastAsia" w:ascii="宋体" w:hAnsi="宋体" w:eastAsia="宋体" w:cs="宋体"/>
                <w:sz w:val="24"/>
                <w:szCs w:val="24"/>
              </w:rPr>
              <w:t>投标人根据本项目服务需求及项目实际情况提供服务方案。</w:t>
            </w:r>
          </w:p>
          <w:p w14:paraId="0956BAC6">
            <w:pPr>
              <w:pStyle w:val="9"/>
              <w:jc w:val="left"/>
              <w:rPr>
                <w:rFonts w:hint="eastAsia" w:ascii="宋体" w:hAnsi="宋体" w:eastAsia="宋体" w:cs="宋体"/>
                <w:sz w:val="24"/>
                <w:szCs w:val="24"/>
              </w:rPr>
            </w:pPr>
            <w:r>
              <w:rPr>
                <w:rFonts w:hint="eastAsia" w:ascii="宋体" w:hAnsi="宋体" w:eastAsia="宋体" w:cs="宋体"/>
                <w:sz w:val="24"/>
                <w:szCs w:val="24"/>
              </w:rPr>
              <w:t>方案内容全面、科学合理，针对性强，得</w:t>
            </w:r>
            <w:r>
              <w:rPr>
                <w:rFonts w:hint="eastAsia" w:ascii="宋体" w:hAnsi="宋体" w:eastAsia="宋体" w:cs="宋体"/>
                <w:sz w:val="24"/>
                <w:szCs w:val="24"/>
                <w:lang w:val="en-US" w:eastAsia="zh-CN"/>
              </w:rPr>
              <w:t>12</w:t>
            </w:r>
            <w:r>
              <w:rPr>
                <w:rFonts w:hint="eastAsia" w:ascii="宋体" w:hAnsi="宋体" w:eastAsia="宋体" w:cs="宋体"/>
                <w:sz w:val="24"/>
                <w:szCs w:val="24"/>
              </w:rPr>
              <w:t>分；</w:t>
            </w:r>
          </w:p>
          <w:p w14:paraId="5F47FB38">
            <w:pPr>
              <w:pStyle w:val="9"/>
              <w:jc w:val="left"/>
              <w:rPr>
                <w:rFonts w:hint="eastAsia" w:ascii="宋体" w:hAnsi="宋体" w:eastAsia="宋体" w:cs="宋体"/>
                <w:sz w:val="24"/>
                <w:szCs w:val="24"/>
              </w:rPr>
            </w:pPr>
            <w:r>
              <w:rPr>
                <w:rFonts w:hint="eastAsia" w:ascii="宋体" w:hAnsi="宋体" w:eastAsia="宋体" w:cs="宋体"/>
                <w:sz w:val="24"/>
                <w:szCs w:val="24"/>
              </w:rPr>
              <w:t>方案内容较全面、较科学合理，针对性较强，得</w:t>
            </w:r>
            <w:r>
              <w:rPr>
                <w:rFonts w:hint="eastAsia" w:ascii="宋体" w:hAnsi="宋体" w:eastAsia="宋体" w:cs="宋体"/>
                <w:sz w:val="24"/>
                <w:szCs w:val="24"/>
                <w:lang w:val="en-US" w:eastAsia="zh-CN"/>
              </w:rPr>
              <w:t>10</w:t>
            </w:r>
            <w:r>
              <w:rPr>
                <w:rFonts w:hint="eastAsia" w:ascii="宋体" w:hAnsi="宋体" w:eastAsia="宋体" w:cs="宋体"/>
                <w:sz w:val="24"/>
                <w:szCs w:val="24"/>
              </w:rPr>
              <w:t>分；</w:t>
            </w:r>
          </w:p>
          <w:p w14:paraId="677D8382">
            <w:pPr>
              <w:pStyle w:val="9"/>
              <w:jc w:val="left"/>
              <w:rPr>
                <w:rFonts w:hint="eastAsia" w:ascii="宋体" w:hAnsi="宋体" w:eastAsia="宋体" w:cs="宋体"/>
                <w:sz w:val="24"/>
                <w:szCs w:val="24"/>
              </w:rPr>
            </w:pPr>
            <w:r>
              <w:rPr>
                <w:rFonts w:hint="eastAsia" w:ascii="宋体" w:hAnsi="宋体" w:eastAsia="宋体" w:cs="宋体"/>
                <w:sz w:val="24"/>
                <w:szCs w:val="24"/>
              </w:rPr>
              <w:t>方案内容一般、针对性一般，得5分；</w:t>
            </w:r>
          </w:p>
          <w:p w14:paraId="552B0F35">
            <w:pPr>
              <w:pStyle w:val="9"/>
              <w:jc w:val="left"/>
              <w:rPr>
                <w:rFonts w:hint="eastAsia" w:ascii="宋体" w:hAnsi="宋体" w:eastAsia="宋体" w:cs="宋体"/>
                <w:sz w:val="24"/>
                <w:szCs w:val="24"/>
              </w:rPr>
            </w:pPr>
            <w:r>
              <w:rPr>
                <w:rFonts w:hint="eastAsia" w:ascii="宋体" w:hAnsi="宋体" w:eastAsia="宋体" w:cs="宋体"/>
                <w:sz w:val="24"/>
                <w:szCs w:val="24"/>
              </w:rPr>
              <w:t>方案内容简单、针对性差，得</w:t>
            </w:r>
            <w:r>
              <w:rPr>
                <w:rFonts w:hint="eastAsia" w:ascii="宋体" w:hAnsi="宋体" w:eastAsia="宋体" w:cs="宋体"/>
                <w:sz w:val="24"/>
                <w:szCs w:val="24"/>
                <w:lang w:val="en-US" w:eastAsia="zh-CN"/>
              </w:rPr>
              <w:t>2</w:t>
            </w:r>
            <w:r>
              <w:rPr>
                <w:rFonts w:hint="eastAsia" w:ascii="宋体" w:hAnsi="宋体" w:eastAsia="宋体" w:cs="宋体"/>
                <w:sz w:val="24"/>
                <w:szCs w:val="24"/>
              </w:rPr>
              <w:t>分；</w:t>
            </w:r>
          </w:p>
          <w:p w14:paraId="6FF33D31">
            <w:pPr>
              <w:jc w:val="left"/>
              <w:rPr>
                <w:rFonts w:hint="eastAsia" w:ascii="宋体" w:hAnsi="宋体" w:eastAsia="宋体" w:cs="宋体"/>
                <w:sz w:val="24"/>
                <w:szCs w:val="24"/>
              </w:rPr>
            </w:pPr>
            <w:r>
              <w:rPr>
                <w:rFonts w:hint="eastAsia" w:ascii="宋体" w:hAnsi="宋体" w:eastAsia="宋体" w:cs="宋体"/>
                <w:sz w:val="24"/>
                <w:szCs w:val="24"/>
              </w:rPr>
              <w:t>未提供，得 0 分。</w:t>
            </w:r>
          </w:p>
        </w:tc>
        <w:tc>
          <w:tcPr>
            <w:tcW w:w="1251" w:type="dxa"/>
            <w:tcBorders>
              <w:top w:val="nil"/>
              <w:left w:val="nil"/>
              <w:bottom w:val="single" w:color="auto" w:sz="4" w:space="0"/>
              <w:right w:val="single" w:color="auto" w:sz="4" w:space="0"/>
            </w:tcBorders>
            <w:shd w:val="clear" w:color="auto" w:fill="auto"/>
            <w:noWrap/>
            <w:vAlign w:val="center"/>
          </w:tcPr>
          <w:p w14:paraId="617F71F1">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w:t>
            </w:r>
          </w:p>
        </w:tc>
      </w:tr>
      <w:tr w14:paraId="2738524A">
        <w:tblPrEx>
          <w:tblCellMar>
            <w:top w:w="0" w:type="dxa"/>
            <w:left w:w="108" w:type="dxa"/>
            <w:bottom w:w="0" w:type="dxa"/>
            <w:right w:w="108" w:type="dxa"/>
          </w:tblCellMar>
        </w:tblPrEx>
        <w:trPr>
          <w:trHeight w:val="423" w:hRule="atLeast"/>
        </w:trPr>
        <w:tc>
          <w:tcPr>
            <w:tcW w:w="936" w:type="dxa"/>
            <w:vMerge w:val="continue"/>
            <w:tcBorders>
              <w:top w:val="nil"/>
              <w:left w:val="single" w:color="auto" w:sz="4" w:space="0"/>
              <w:bottom w:val="nil"/>
              <w:right w:val="single" w:color="auto" w:sz="4" w:space="0"/>
            </w:tcBorders>
            <w:vAlign w:val="center"/>
          </w:tcPr>
          <w:p w14:paraId="34AA2F61">
            <w:pPr>
              <w:jc w:val="center"/>
              <w:rPr>
                <w:rFonts w:hint="eastAsia" w:ascii="宋体" w:hAnsi="宋体" w:eastAsia="宋体" w:cs="宋体"/>
                <w:sz w:val="24"/>
                <w:szCs w:val="24"/>
              </w:rPr>
            </w:pPr>
          </w:p>
        </w:tc>
        <w:tc>
          <w:tcPr>
            <w:tcW w:w="968" w:type="dxa"/>
            <w:tcBorders>
              <w:top w:val="nil"/>
              <w:left w:val="nil"/>
              <w:bottom w:val="single" w:color="auto" w:sz="4" w:space="0"/>
              <w:right w:val="single" w:color="auto" w:sz="4" w:space="0"/>
            </w:tcBorders>
            <w:shd w:val="clear" w:color="auto" w:fill="auto"/>
            <w:vAlign w:val="center"/>
          </w:tcPr>
          <w:p w14:paraId="7FE863CB">
            <w:pPr>
              <w:pStyle w:val="9"/>
              <w:jc w:val="center"/>
              <w:rPr>
                <w:rFonts w:hint="eastAsia" w:ascii="宋体" w:hAnsi="宋体" w:eastAsia="宋体" w:cs="宋体"/>
                <w:sz w:val="24"/>
                <w:szCs w:val="24"/>
              </w:rPr>
            </w:pPr>
            <w:r>
              <w:rPr>
                <w:rFonts w:hint="eastAsia" w:ascii="宋体" w:hAnsi="宋体" w:eastAsia="宋体" w:cs="宋体"/>
                <w:sz w:val="24"/>
                <w:szCs w:val="24"/>
              </w:rPr>
              <w:t>人员培训及管理方案</w:t>
            </w:r>
          </w:p>
          <w:p w14:paraId="11494E7F">
            <w:pPr>
              <w:jc w:val="center"/>
              <w:rPr>
                <w:rFonts w:hint="eastAsia" w:ascii="宋体" w:hAnsi="宋体" w:eastAsia="宋体" w:cs="宋体"/>
                <w:sz w:val="24"/>
                <w:szCs w:val="24"/>
              </w:rPr>
            </w:pPr>
          </w:p>
        </w:tc>
        <w:tc>
          <w:tcPr>
            <w:tcW w:w="5367" w:type="dxa"/>
            <w:tcBorders>
              <w:top w:val="nil"/>
              <w:left w:val="nil"/>
              <w:bottom w:val="single" w:color="auto" w:sz="4" w:space="0"/>
              <w:right w:val="single" w:color="auto" w:sz="4" w:space="0"/>
            </w:tcBorders>
            <w:shd w:val="clear" w:color="auto" w:fill="auto"/>
            <w:vAlign w:val="center"/>
          </w:tcPr>
          <w:p w14:paraId="44551968">
            <w:pPr>
              <w:pStyle w:val="9"/>
              <w:jc w:val="left"/>
              <w:rPr>
                <w:rFonts w:hint="eastAsia" w:ascii="宋体" w:hAnsi="宋体" w:eastAsia="宋体" w:cs="宋体"/>
                <w:sz w:val="24"/>
                <w:szCs w:val="24"/>
              </w:rPr>
            </w:pPr>
            <w:r>
              <w:rPr>
                <w:rFonts w:hint="eastAsia" w:ascii="宋体" w:hAnsi="宋体" w:eastAsia="宋体" w:cs="宋体"/>
                <w:sz w:val="24"/>
                <w:szCs w:val="24"/>
              </w:rPr>
              <w:t>投标人根据本项目服务需求及项目实际情况提供人员培训及管理方案。</w:t>
            </w:r>
          </w:p>
          <w:p w14:paraId="0FBC7843">
            <w:pPr>
              <w:pStyle w:val="9"/>
              <w:jc w:val="left"/>
              <w:rPr>
                <w:rFonts w:hint="eastAsia" w:ascii="宋体" w:hAnsi="宋体" w:eastAsia="宋体" w:cs="宋体"/>
                <w:sz w:val="24"/>
                <w:szCs w:val="24"/>
              </w:rPr>
            </w:pPr>
            <w:r>
              <w:rPr>
                <w:rFonts w:hint="eastAsia" w:ascii="宋体" w:hAnsi="宋体" w:eastAsia="宋体" w:cs="宋体"/>
                <w:sz w:val="24"/>
                <w:szCs w:val="24"/>
              </w:rPr>
              <w:t>方案内容全面、科学合理，针对性强，得 10分；</w:t>
            </w:r>
          </w:p>
          <w:p w14:paraId="4C5E4EC6">
            <w:pPr>
              <w:pStyle w:val="9"/>
              <w:jc w:val="left"/>
              <w:rPr>
                <w:rFonts w:hint="eastAsia" w:ascii="宋体" w:hAnsi="宋体" w:eastAsia="宋体" w:cs="宋体"/>
                <w:sz w:val="24"/>
                <w:szCs w:val="24"/>
              </w:rPr>
            </w:pPr>
            <w:r>
              <w:rPr>
                <w:rFonts w:hint="eastAsia" w:ascii="宋体" w:hAnsi="宋体" w:eastAsia="宋体" w:cs="宋体"/>
                <w:sz w:val="24"/>
                <w:szCs w:val="24"/>
              </w:rPr>
              <w:t>方案内容较全面、较科学合理，针对性较强，得</w:t>
            </w:r>
            <w:r>
              <w:rPr>
                <w:rFonts w:hint="eastAsia" w:ascii="宋体" w:hAnsi="宋体" w:eastAsia="宋体" w:cs="宋体"/>
                <w:sz w:val="24"/>
                <w:szCs w:val="24"/>
                <w:lang w:val="en-US" w:eastAsia="zh-CN"/>
              </w:rPr>
              <w:t>8</w:t>
            </w:r>
            <w:r>
              <w:rPr>
                <w:rFonts w:hint="eastAsia" w:ascii="宋体" w:hAnsi="宋体" w:eastAsia="宋体" w:cs="宋体"/>
                <w:sz w:val="24"/>
                <w:szCs w:val="24"/>
              </w:rPr>
              <w:t>分；</w:t>
            </w:r>
          </w:p>
          <w:p w14:paraId="5900D0C1">
            <w:pPr>
              <w:pStyle w:val="9"/>
              <w:jc w:val="left"/>
              <w:rPr>
                <w:rFonts w:hint="eastAsia" w:ascii="宋体" w:hAnsi="宋体" w:eastAsia="宋体" w:cs="宋体"/>
                <w:sz w:val="24"/>
                <w:szCs w:val="24"/>
              </w:rPr>
            </w:pPr>
            <w:r>
              <w:rPr>
                <w:rFonts w:hint="eastAsia" w:ascii="宋体" w:hAnsi="宋体" w:eastAsia="宋体" w:cs="宋体"/>
                <w:sz w:val="24"/>
                <w:szCs w:val="24"/>
              </w:rPr>
              <w:t>方案内容一般、针对性一般，得 5分；</w:t>
            </w:r>
          </w:p>
          <w:p w14:paraId="0F555941">
            <w:pPr>
              <w:pStyle w:val="9"/>
              <w:jc w:val="left"/>
              <w:rPr>
                <w:rFonts w:hint="eastAsia" w:ascii="宋体" w:hAnsi="宋体" w:eastAsia="宋体" w:cs="宋体"/>
                <w:sz w:val="24"/>
                <w:szCs w:val="24"/>
              </w:rPr>
            </w:pPr>
            <w:r>
              <w:rPr>
                <w:rFonts w:hint="eastAsia" w:ascii="宋体" w:hAnsi="宋体" w:eastAsia="宋体" w:cs="宋体"/>
                <w:sz w:val="24"/>
                <w:szCs w:val="24"/>
              </w:rPr>
              <w:t>方案内容简单、针对性差，得</w:t>
            </w:r>
            <w:r>
              <w:rPr>
                <w:rFonts w:hint="eastAsia" w:ascii="宋体" w:hAnsi="宋体" w:eastAsia="宋体" w:cs="宋体"/>
                <w:sz w:val="24"/>
                <w:szCs w:val="24"/>
                <w:lang w:val="en-US" w:eastAsia="zh-CN"/>
              </w:rPr>
              <w:t>2</w:t>
            </w:r>
            <w:r>
              <w:rPr>
                <w:rFonts w:hint="eastAsia" w:ascii="宋体" w:hAnsi="宋体" w:eastAsia="宋体" w:cs="宋体"/>
                <w:sz w:val="24"/>
                <w:szCs w:val="24"/>
              </w:rPr>
              <w:t>分；</w:t>
            </w:r>
          </w:p>
          <w:p w14:paraId="584DBD9F">
            <w:pPr>
              <w:pStyle w:val="9"/>
              <w:jc w:val="left"/>
              <w:rPr>
                <w:rFonts w:hint="eastAsia" w:ascii="宋体" w:hAnsi="宋体" w:eastAsia="宋体" w:cs="宋体"/>
                <w:sz w:val="24"/>
                <w:szCs w:val="24"/>
              </w:rPr>
            </w:pPr>
            <w:r>
              <w:rPr>
                <w:rFonts w:hint="eastAsia" w:ascii="宋体" w:hAnsi="宋体" w:eastAsia="宋体" w:cs="宋体"/>
                <w:sz w:val="24"/>
                <w:szCs w:val="24"/>
              </w:rPr>
              <w:t>未提供，得 0 分。</w:t>
            </w:r>
          </w:p>
        </w:tc>
        <w:tc>
          <w:tcPr>
            <w:tcW w:w="1251" w:type="dxa"/>
            <w:tcBorders>
              <w:top w:val="nil"/>
              <w:left w:val="nil"/>
              <w:bottom w:val="single" w:color="auto" w:sz="4" w:space="0"/>
              <w:right w:val="single" w:color="auto" w:sz="4" w:space="0"/>
            </w:tcBorders>
            <w:shd w:val="clear" w:color="auto" w:fill="auto"/>
            <w:noWrap/>
            <w:vAlign w:val="center"/>
          </w:tcPr>
          <w:p w14:paraId="397060A4">
            <w:pPr>
              <w:jc w:val="center"/>
              <w:rPr>
                <w:rFonts w:hint="eastAsia" w:ascii="宋体" w:hAnsi="宋体" w:eastAsia="宋体" w:cs="宋体"/>
                <w:sz w:val="24"/>
                <w:szCs w:val="24"/>
              </w:rPr>
            </w:pPr>
            <w:r>
              <w:rPr>
                <w:rFonts w:hint="eastAsia" w:ascii="宋体" w:hAnsi="宋体" w:eastAsia="宋体" w:cs="宋体"/>
                <w:sz w:val="24"/>
                <w:szCs w:val="24"/>
              </w:rPr>
              <w:t>10</w:t>
            </w:r>
          </w:p>
        </w:tc>
      </w:tr>
      <w:tr w14:paraId="310731FC">
        <w:tblPrEx>
          <w:tblCellMar>
            <w:top w:w="0" w:type="dxa"/>
            <w:left w:w="108" w:type="dxa"/>
            <w:bottom w:w="0" w:type="dxa"/>
            <w:right w:w="108" w:type="dxa"/>
          </w:tblCellMar>
        </w:tblPrEx>
        <w:trPr>
          <w:trHeight w:val="1125" w:hRule="atLeast"/>
        </w:trPr>
        <w:tc>
          <w:tcPr>
            <w:tcW w:w="936" w:type="dxa"/>
            <w:vMerge w:val="continue"/>
            <w:tcBorders>
              <w:top w:val="nil"/>
              <w:left w:val="single" w:color="auto" w:sz="4" w:space="0"/>
              <w:bottom w:val="nil"/>
              <w:right w:val="single" w:color="auto" w:sz="4" w:space="0"/>
            </w:tcBorders>
            <w:vAlign w:val="center"/>
          </w:tcPr>
          <w:p w14:paraId="36B9AB23">
            <w:pPr>
              <w:jc w:val="center"/>
              <w:rPr>
                <w:rFonts w:hint="eastAsia" w:ascii="宋体" w:hAnsi="宋体" w:eastAsia="宋体" w:cs="宋体"/>
                <w:sz w:val="24"/>
                <w:szCs w:val="24"/>
              </w:rPr>
            </w:pPr>
          </w:p>
        </w:tc>
        <w:tc>
          <w:tcPr>
            <w:tcW w:w="968" w:type="dxa"/>
            <w:tcBorders>
              <w:top w:val="nil"/>
              <w:left w:val="nil"/>
              <w:bottom w:val="single" w:color="auto" w:sz="4" w:space="0"/>
              <w:right w:val="single" w:color="auto" w:sz="4" w:space="0"/>
            </w:tcBorders>
            <w:shd w:val="clear" w:color="auto" w:fill="auto"/>
            <w:vAlign w:val="center"/>
          </w:tcPr>
          <w:p w14:paraId="4DED4A86">
            <w:pPr>
              <w:pStyle w:val="9"/>
              <w:jc w:val="center"/>
              <w:rPr>
                <w:rFonts w:hint="eastAsia" w:ascii="宋体" w:hAnsi="宋体" w:eastAsia="宋体" w:cs="宋体"/>
                <w:sz w:val="24"/>
                <w:szCs w:val="24"/>
              </w:rPr>
            </w:pPr>
            <w:r>
              <w:rPr>
                <w:rFonts w:hint="eastAsia" w:ascii="宋体" w:hAnsi="宋体" w:eastAsia="宋体" w:cs="宋体"/>
                <w:sz w:val="24"/>
                <w:szCs w:val="24"/>
              </w:rPr>
              <w:t>服务承诺</w:t>
            </w:r>
          </w:p>
          <w:p w14:paraId="0BE737C8">
            <w:pPr>
              <w:pStyle w:val="9"/>
              <w:jc w:val="center"/>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12</w:t>
            </w:r>
            <w:r>
              <w:rPr>
                <w:rFonts w:hint="eastAsia" w:ascii="宋体" w:hAnsi="宋体" w:eastAsia="宋体" w:cs="宋体"/>
                <w:sz w:val="24"/>
                <w:szCs w:val="24"/>
              </w:rPr>
              <w:t>分）</w:t>
            </w:r>
          </w:p>
        </w:tc>
        <w:tc>
          <w:tcPr>
            <w:tcW w:w="5367" w:type="dxa"/>
            <w:tcBorders>
              <w:top w:val="nil"/>
              <w:left w:val="nil"/>
              <w:bottom w:val="single" w:color="auto" w:sz="4" w:space="0"/>
              <w:right w:val="single" w:color="auto" w:sz="4" w:space="0"/>
            </w:tcBorders>
            <w:shd w:val="clear" w:color="auto" w:fill="auto"/>
            <w:vAlign w:val="center"/>
          </w:tcPr>
          <w:p w14:paraId="2EE1F4B2">
            <w:pPr>
              <w:pStyle w:val="9"/>
              <w:jc w:val="left"/>
              <w:rPr>
                <w:rFonts w:hint="eastAsia" w:ascii="宋体" w:hAnsi="宋体" w:eastAsia="宋体" w:cs="宋体"/>
                <w:sz w:val="24"/>
                <w:szCs w:val="24"/>
              </w:rPr>
            </w:pPr>
            <w:r>
              <w:rPr>
                <w:rFonts w:hint="eastAsia" w:ascii="宋体" w:hAnsi="宋体" w:eastAsia="宋体" w:cs="宋体"/>
                <w:sz w:val="24"/>
                <w:szCs w:val="24"/>
              </w:rPr>
              <w:t>投标人提供的针对本项目的服务承诺进行评审，承诺全面完善、责任清晰、贴合医院管理要求（含持证上岗、收费规范、院感管理、安全责任、投诉处置等），优得12分；</w:t>
            </w:r>
          </w:p>
          <w:p w14:paraId="6AC31166">
            <w:pPr>
              <w:pStyle w:val="9"/>
              <w:jc w:val="left"/>
              <w:rPr>
                <w:rFonts w:hint="eastAsia" w:ascii="宋体" w:hAnsi="宋体" w:eastAsia="宋体" w:cs="宋体"/>
                <w:sz w:val="24"/>
                <w:szCs w:val="24"/>
              </w:rPr>
            </w:pPr>
            <w:r>
              <w:rPr>
                <w:rFonts w:hint="eastAsia" w:ascii="宋体" w:hAnsi="宋体" w:eastAsia="宋体" w:cs="宋体"/>
                <w:sz w:val="24"/>
                <w:szCs w:val="24"/>
              </w:rPr>
              <w:t>承诺较完善、细节略有欠缺，良得10分；</w:t>
            </w:r>
          </w:p>
          <w:p w14:paraId="5E5F2824">
            <w:pPr>
              <w:pStyle w:val="9"/>
              <w:jc w:val="left"/>
              <w:rPr>
                <w:rFonts w:hint="eastAsia" w:ascii="宋体" w:hAnsi="宋体" w:eastAsia="宋体" w:cs="宋体"/>
                <w:sz w:val="24"/>
                <w:szCs w:val="24"/>
              </w:rPr>
            </w:pPr>
            <w:r>
              <w:rPr>
                <w:rFonts w:hint="eastAsia" w:ascii="宋体" w:hAnsi="宋体" w:eastAsia="宋体" w:cs="宋体"/>
                <w:sz w:val="24"/>
                <w:szCs w:val="24"/>
              </w:rPr>
              <w:t>承诺内容简单、关键条款不全，一般得5分；</w:t>
            </w:r>
          </w:p>
          <w:p w14:paraId="4053B3DF">
            <w:pPr>
              <w:pStyle w:val="9"/>
              <w:jc w:val="left"/>
              <w:rPr>
                <w:rFonts w:hint="eastAsia" w:ascii="宋体" w:hAnsi="宋体" w:eastAsia="宋体" w:cs="宋体"/>
                <w:sz w:val="24"/>
                <w:szCs w:val="24"/>
              </w:rPr>
            </w:pPr>
            <w:r>
              <w:rPr>
                <w:rFonts w:hint="eastAsia" w:ascii="宋体" w:hAnsi="宋体" w:eastAsia="宋体" w:cs="宋体"/>
                <w:sz w:val="24"/>
                <w:szCs w:val="24"/>
              </w:rPr>
              <w:t>未提供得0分。</w:t>
            </w:r>
          </w:p>
        </w:tc>
        <w:tc>
          <w:tcPr>
            <w:tcW w:w="1251" w:type="dxa"/>
            <w:tcBorders>
              <w:top w:val="nil"/>
              <w:left w:val="nil"/>
              <w:bottom w:val="single" w:color="auto" w:sz="4" w:space="0"/>
              <w:right w:val="single" w:color="auto" w:sz="4" w:space="0"/>
            </w:tcBorders>
            <w:shd w:val="clear" w:color="auto" w:fill="auto"/>
            <w:noWrap/>
            <w:vAlign w:val="center"/>
          </w:tcPr>
          <w:p w14:paraId="66283F09">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w:t>
            </w:r>
          </w:p>
        </w:tc>
      </w:tr>
      <w:tr w14:paraId="3C8F74B9">
        <w:tblPrEx>
          <w:tblCellMar>
            <w:top w:w="0" w:type="dxa"/>
            <w:left w:w="108" w:type="dxa"/>
            <w:bottom w:w="0" w:type="dxa"/>
            <w:right w:w="108" w:type="dxa"/>
          </w:tblCellMar>
        </w:tblPrEx>
        <w:trPr>
          <w:trHeight w:val="1125" w:hRule="atLeast"/>
        </w:trPr>
        <w:tc>
          <w:tcPr>
            <w:tcW w:w="936" w:type="dxa"/>
            <w:vMerge w:val="continue"/>
            <w:tcBorders>
              <w:top w:val="nil"/>
              <w:left w:val="single" w:color="auto" w:sz="4" w:space="0"/>
              <w:bottom w:val="nil"/>
              <w:right w:val="single" w:color="auto" w:sz="4" w:space="0"/>
            </w:tcBorders>
            <w:vAlign w:val="center"/>
          </w:tcPr>
          <w:p w14:paraId="7C1551BB">
            <w:pPr>
              <w:jc w:val="center"/>
              <w:rPr>
                <w:rFonts w:hint="eastAsia" w:ascii="宋体" w:hAnsi="宋体" w:eastAsia="宋体" w:cs="宋体"/>
                <w:sz w:val="24"/>
                <w:szCs w:val="24"/>
              </w:rPr>
            </w:pPr>
          </w:p>
        </w:tc>
        <w:tc>
          <w:tcPr>
            <w:tcW w:w="968" w:type="dxa"/>
            <w:tcBorders>
              <w:top w:val="nil"/>
              <w:left w:val="nil"/>
              <w:bottom w:val="single" w:color="auto" w:sz="4" w:space="0"/>
              <w:right w:val="single" w:color="auto" w:sz="4" w:space="0"/>
            </w:tcBorders>
            <w:shd w:val="clear" w:color="auto" w:fill="auto"/>
            <w:vAlign w:val="center"/>
          </w:tcPr>
          <w:p w14:paraId="288F15A7">
            <w:pPr>
              <w:pStyle w:val="9"/>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sz w:val="24"/>
                <w:szCs w:val="24"/>
              </w:rPr>
              <w:t>投诉与沟通配合方案</w:t>
            </w:r>
          </w:p>
        </w:tc>
        <w:tc>
          <w:tcPr>
            <w:tcW w:w="5367" w:type="dxa"/>
            <w:tcBorders>
              <w:top w:val="nil"/>
              <w:left w:val="nil"/>
              <w:bottom w:val="single" w:color="auto" w:sz="4" w:space="0"/>
              <w:right w:val="single" w:color="auto" w:sz="4" w:space="0"/>
            </w:tcBorders>
            <w:shd w:val="clear" w:color="auto" w:fill="auto"/>
            <w:vAlign w:val="center"/>
          </w:tcPr>
          <w:p w14:paraId="52A66ABF">
            <w:pPr>
              <w:pStyle w:val="9"/>
              <w:jc w:val="left"/>
              <w:rPr>
                <w:rFonts w:hint="eastAsia" w:ascii="宋体" w:hAnsi="宋体" w:eastAsia="宋体" w:cs="宋体"/>
                <w:sz w:val="24"/>
                <w:szCs w:val="24"/>
              </w:rPr>
            </w:pPr>
            <w:r>
              <w:rPr>
                <w:rFonts w:hint="eastAsia" w:ascii="宋体" w:hAnsi="宋体" w:eastAsia="宋体" w:cs="宋体"/>
                <w:sz w:val="24"/>
                <w:szCs w:val="24"/>
              </w:rPr>
              <w:t>投标人根据本项目服务需求及项目实际情况提供投诉与沟通配合方案。投诉处理流程完整、沟通机制完善、闭环管理到位，得10分；</w:t>
            </w:r>
          </w:p>
          <w:p w14:paraId="79652097">
            <w:pPr>
              <w:pStyle w:val="9"/>
              <w:jc w:val="left"/>
              <w:rPr>
                <w:rFonts w:hint="eastAsia" w:ascii="宋体" w:hAnsi="宋体" w:eastAsia="宋体" w:cs="宋体"/>
                <w:sz w:val="24"/>
                <w:szCs w:val="24"/>
              </w:rPr>
            </w:pPr>
            <w:r>
              <w:rPr>
                <w:rFonts w:hint="eastAsia" w:ascii="宋体" w:hAnsi="宋体" w:eastAsia="宋体" w:cs="宋体"/>
                <w:sz w:val="24"/>
                <w:szCs w:val="24"/>
              </w:rPr>
              <w:t>流程较完整、机制较健全，得8分；</w:t>
            </w:r>
          </w:p>
          <w:p w14:paraId="19FBF264">
            <w:pPr>
              <w:pStyle w:val="9"/>
              <w:jc w:val="left"/>
              <w:rPr>
                <w:rFonts w:hint="eastAsia" w:ascii="宋体" w:hAnsi="宋体" w:eastAsia="宋体" w:cs="宋体"/>
                <w:sz w:val="24"/>
                <w:szCs w:val="24"/>
              </w:rPr>
            </w:pPr>
            <w:r>
              <w:rPr>
                <w:rFonts w:hint="eastAsia" w:ascii="宋体" w:hAnsi="宋体" w:eastAsia="宋体" w:cs="宋体"/>
                <w:sz w:val="24"/>
                <w:szCs w:val="24"/>
              </w:rPr>
              <w:t>流程简单、内容普通，得5分；</w:t>
            </w:r>
          </w:p>
          <w:p w14:paraId="45B4E168">
            <w:pPr>
              <w:pStyle w:val="9"/>
              <w:jc w:val="left"/>
              <w:rPr>
                <w:rFonts w:hint="eastAsia" w:ascii="宋体" w:hAnsi="宋体" w:eastAsia="宋体" w:cs="宋体"/>
                <w:sz w:val="24"/>
                <w:szCs w:val="24"/>
              </w:rPr>
            </w:pPr>
            <w:r>
              <w:rPr>
                <w:rFonts w:hint="eastAsia" w:ascii="宋体" w:hAnsi="宋体" w:eastAsia="宋体" w:cs="宋体"/>
                <w:sz w:val="24"/>
                <w:szCs w:val="24"/>
              </w:rPr>
              <w:t>方案空洞、可执行性差，得2分；</w:t>
            </w:r>
          </w:p>
          <w:p w14:paraId="5C2D4A3D">
            <w:pPr>
              <w:pStyle w:val="9"/>
              <w:jc w:val="left"/>
              <w:rPr>
                <w:rFonts w:hint="eastAsia" w:ascii="宋体" w:hAnsi="宋体" w:eastAsia="宋体" w:cs="宋体"/>
                <w:color w:val="000000"/>
                <w:kern w:val="0"/>
                <w:sz w:val="24"/>
                <w:szCs w:val="24"/>
                <w:lang w:val="en-US" w:eastAsia="zh-CN" w:bidi="ar-SA"/>
              </w:rPr>
            </w:pPr>
            <w:r>
              <w:rPr>
                <w:rFonts w:hint="eastAsia" w:ascii="宋体" w:hAnsi="宋体" w:eastAsia="宋体" w:cs="宋体"/>
                <w:sz w:val="24"/>
                <w:szCs w:val="24"/>
              </w:rPr>
              <w:t>未提供得0分。</w:t>
            </w:r>
          </w:p>
        </w:tc>
        <w:tc>
          <w:tcPr>
            <w:tcW w:w="1251" w:type="dxa"/>
            <w:tcBorders>
              <w:top w:val="nil"/>
              <w:left w:val="nil"/>
              <w:bottom w:val="single" w:color="auto" w:sz="4" w:space="0"/>
              <w:right w:val="single" w:color="auto" w:sz="4" w:space="0"/>
            </w:tcBorders>
            <w:shd w:val="clear" w:color="auto" w:fill="auto"/>
            <w:noWrap/>
            <w:vAlign w:val="center"/>
          </w:tcPr>
          <w:p w14:paraId="18D4F388">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10</w:t>
            </w:r>
          </w:p>
        </w:tc>
      </w:tr>
      <w:tr w14:paraId="15BB8F54">
        <w:tblPrEx>
          <w:tblCellMar>
            <w:top w:w="0" w:type="dxa"/>
            <w:left w:w="108" w:type="dxa"/>
            <w:bottom w:w="0" w:type="dxa"/>
            <w:right w:w="108" w:type="dxa"/>
          </w:tblCellMar>
        </w:tblPrEx>
        <w:trPr>
          <w:trHeight w:val="2270" w:hRule="atLeast"/>
        </w:trPr>
        <w:tc>
          <w:tcPr>
            <w:tcW w:w="936" w:type="dxa"/>
            <w:vMerge w:val="continue"/>
            <w:tcBorders>
              <w:top w:val="nil"/>
              <w:left w:val="single" w:color="auto" w:sz="4" w:space="0"/>
              <w:bottom w:val="nil"/>
              <w:right w:val="single" w:color="auto" w:sz="4" w:space="0"/>
            </w:tcBorders>
            <w:vAlign w:val="center"/>
          </w:tcPr>
          <w:p w14:paraId="667DA3E6">
            <w:pPr>
              <w:jc w:val="center"/>
              <w:rPr>
                <w:rFonts w:hint="eastAsia" w:ascii="宋体" w:hAnsi="宋体" w:eastAsia="宋体" w:cs="宋体"/>
                <w:sz w:val="24"/>
                <w:szCs w:val="24"/>
              </w:rPr>
            </w:pPr>
          </w:p>
        </w:tc>
        <w:tc>
          <w:tcPr>
            <w:tcW w:w="968" w:type="dxa"/>
            <w:tcBorders>
              <w:top w:val="nil"/>
              <w:left w:val="nil"/>
              <w:right w:val="single" w:color="auto" w:sz="4" w:space="0"/>
            </w:tcBorders>
            <w:shd w:val="clear" w:color="auto" w:fill="auto"/>
            <w:vAlign w:val="center"/>
          </w:tcPr>
          <w:p w14:paraId="7D05AA08">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突发事件处理能力</w:t>
            </w:r>
          </w:p>
        </w:tc>
        <w:tc>
          <w:tcPr>
            <w:tcW w:w="5367" w:type="dxa"/>
            <w:tcBorders>
              <w:top w:val="nil"/>
              <w:left w:val="nil"/>
              <w:right w:val="single" w:color="auto" w:sz="4" w:space="0"/>
            </w:tcBorders>
            <w:shd w:val="clear" w:color="auto" w:fill="auto"/>
            <w:vAlign w:val="center"/>
          </w:tcPr>
          <w:p w14:paraId="1EAE46D5">
            <w:pPr>
              <w:jc w:val="left"/>
              <w:rPr>
                <w:rFonts w:hint="eastAsia" w:ascii="宋体" w:hAnsi="宋体" w:eastAsia="宋体" w:cs="宋体"/>
                <w:kern w:val="2"/>
                <w:sz w:val="24"/>
                <w:szCs w:val="24"/>
                <w:lang w:val="en-US" w:eastAsia="zh-CN" w:bidi="ar-SA"/>
              </w:rPr>
            </w:pPr>
            <w:r>
              <w:rPr>
                <w:rFonts w:hint="eastAsia" w:ascii="宋体" w:hAnsi="宋体" w:eastAsia="宋体" w:cs="宋体"/>
                <w:sz w:val="24"/>
                <w:szCs w:val="24"/>
              </w:rPr>
              <w:t>在服务过程中具有处理突发事件的能力并作出相关承诺。有详细处理预案，包括但不限于：纠纷处理、价格因素导致的竞标恶性事件如何避免各类事故、法律风险、维持秩序等方面，须针对相关内容并作出具体措施方案，并提供相关承诺的得</w:t>
            </w:r>
            <w:r>
              <w:rPr>
                <w:rFonts w:hint="eastAsia" w:ascii="宋体" w:hAnsi="宋体" w:eastAsia="宋体" w:cs="宋体"/>
                <w:sz w:val="24"/>
                <w:szCs w:val="24"/>
                <w:lang w:val="en-US" w:eastAsia="zh-CN"/>
              </w:rPr>
              <w:t>10</w:t>
            </w:r>
            <w:r>
              <w:rPr>
                <w:rFonts w:hint="eastAsia" w:ascii="宋体" w:hAnsi="宋体" w:eastAsia="宋体" w:cs="宋体"/>
                <w:sz w:val="24"/>
                <w:szCs w:val="24"/>
              </w:rPr>
              <w:t>分，有处理预案但不详细的得</w:t>
            </w:r>
            <w:r>
              <w:rPr>
                <w:rFonts w:hint="eastAsia" w:ascii="宋体" w:hAnsi="宋体" w:eastAsia="宋体" w:cs="宋体"/>
                <w:sz w:val="24"/>
                <w:szCs w:val="24"/>
                <w:lang w:val="en-US" w:eastAsia="zh-CN"/>
              </w:rPr>
              <w:t>5</w:t>
            </w:r>
            <w:r>
              <w:rPr>
                <w:rFonts w:hint="eastAsia" w:ascii="宋体" w:hAnsi="宋体" w:eastAsia="宋体" w:cs="宋体"/>
                <w:sz w:val="24"/>
                <w:szCs w:val="24"/>
              </w:rPr>
              <w:t>分，未作出承诺的不得分。</w:t>
            </w:r>
          </w:p>
        </w:tc>
        <w:tc>
          <w:tcPr>
            <w:tcW w:w="1251" w:type="dxa"/>
            <w:tcBorders>
              <w:top w:val="nil"/>
              <w:left w:val="nil"/>
              <w:bottom w:val="single" w:color="auto" w:sz="4" w:space="0"/>
              <w:right w:val="single" w:color="auto" w:sz="4" w:space="0"/>
            </w:tcBorders>
            <w:shd w:val="clear" w:color="auto" w:fill="auto"/>
            <w:noWrap/>
            <w:vAlign w:val="center"/>
          </w:tcPr>
          <w:p w14:paraId="1EE01613">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10</w:t>
            </w:r>
          </w:p>
        </w:tc>
      </w:tr>
      <w:tr w14:paraId="05AC90D4">
        <w:tblPrEx>
          <w:tblCellMar>
            <w:top w:w="0" w:type="dxa"/>
            <w:left w:w="108" w:type="dxa"/>
            <w:bottom w:w="0" w:type="dxa"/>
            <w:right w:w="108" w:type="dxa"/>
          </w:tblCellMar>
        </w:tblPrEx>
        <w:trPr>
          <w:trHeight w:val="660" w:hRule="atLeast"/>
        </w:trPr>
        <w:tc>
          <w:tcPr>
            <w:tcW w:w="7271" w:type="dxa"/>
            <w:gridSpan w:val="3"/>
            <w:tcBorders>
              <w:top w:val="single" w:color="auto" w:sz="4" w:space="0"/>
              <w:left w:val="single" w:color="auto" w:sz="4" w:space="0"/>
              <w:bottom w:val="single" w:color="auto" w:sz="4" w:space="0"/>
              <w:right w:val="single" w:color="000000" w:sz="4" w:space="0"/>
            </w:tcBorders>
            <w:shd w:val="clear" w:color="auto" w:fill="auto"/>
            <w:noWrap/>
            <w:vAlign w:val="center"/>
          </w:tcPr>
          <w:p w14:paraId="73DDB9B1">
            <w:pPr>
              <w:jc w:val="center"/>
              <w:rPr>
                <w:rFonts w:hint="eastAsia" w:ascii="宋体" w:hAnsi="宋体" w:eastAsia="宋体" w:cs="宋体"/>
                <w:sz w:val="24"/>
                <w:szCs w:val="24"/>
              </w:rPr>
            </w:pPr>
            <w:r>
              <w:rPr>
                <w:rFonts w:hint="eastAsia" w:ascii="宋体" w:hAnsi="宋体" w:eastAsia="宋体" w:cs="宋体"/>
                <w:sz w:val="24"/>
                <w:szCs w:val="24"/>
              </w:rPr>
              <w:t>综合得分</w:t>
            </w:r>
          </w:p>
        </w:tc>
        <w:tc>
          <w:tcPr>
            <w:tcW w:w="1251" w:type="dxa"/>
            <w:tcBorders>
              <w:top w:val="nil"/>
              <w:left w:val="nil"/>
              <w:bottom w:val="single" w:color="auto" w:sz="4" w:space="0"/>
              <w:right w:val="single" w:color="auto" w:sz="4" w:space="0"/>
            </w:tcBorders>
            <w:shd w:val="clear" w:color="auto" w:fill="auto"/>
            <w:noWrap/>
            <w:vAlign w:val="center"/>
          </w:tcPr>
          <w:p w14:paraId="1C29ABB2">
            <w:pPr>
              <w:jc w:val="center"/>
              <w:rPr>
                <w:rFonts w:hint="eastAsia" w:ascii="宋体" w:hAnsi="宋体" w:eastAsia="宋体" w:cs="宋体"/>
                <w:sz w:val="24"/>
                <w:szCs w:val="24"/>
              </w:rPr>
            </w:pPr>
            <w:r>
              <w:rPr>
                <w:rFonts w:hint="eastAsia" w:ascii="宋体" w:hAnsi="宋体" w:eastAsia="宋体" w:cs="宋体"/>
                <w:sz w:val="24"/>
                <w:szCs w:val="24"/>
              </w:rPr>
              <w:t>100</w:t>
            </w:r>
          </w:p>
        </w:tc>
      </w:tr>
    </w:tbl>
    <w:p w14:paraId="4E828823">
      <w:pPr>
        <w:jc w:val="center"/>
        <w:rPr>
          <w:rFonts w:hint="eastAsia" w:ascii="宋体" w:hAnsi="宋体" w:eastAsia="宋体" w:cs="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Arial Unicode MS">
    <w:altName w:val="Malgun Gothic Semilight"/>
    <w:panose1 w:val="020B0604020202020204"/>
    <w:charset w:val="86"/>
    <w:family w:val="swiss"/>
    <w:pitch w:val="default"/>
    <w:sig w:usb0="00000000" w:usb1="00000000" w:usb2="0000003F" w:usb3="00000000" w:csb0="003F01FF" w:csb1="00000000"/>
  </w:font>
  <w:font w:name="Malgun Gothic Semilight">
    <w:panose1 w:val="020B0502040204020203"/>
    <w:charset w:val="86"/>
    <w:family w:val="auto"/>
    <w:pitch w:val="default"/>
    <w:sig w:usb0="900002AF" w:usb1="01D77CFB" w:usb2="00000012" w:usb3="00000000" w:csb0="203E01BD" w:csb1="D7FF0000"/>
  </w:font>
  <w:font w:name="方正小标宋简体">
    <w:altName w:val="黑体"/>
    <w:panose1 w:val="02010601030101010101"/>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431"/>
    <w:rsid w:val="002824D7"/>
    <w:rsid w:val="002F34AC"/>
    <w:rsid w:val="003E5526"/>
    <w:rsid w:val="003E7F15"/>
    <w:rsid w:val="00454F81"/>
    <w:rsid w:val="00596F6D"/>
    <w:rsid w:val="005C64C8"/>
    <w:rsid w:val="006230BF"/>
    <w:rsid w:val="00A732C4"/>
    <w:rsid w:val="00B62EEA"/>
    <w:rsid w:val="00B86200"/>
    <w:rsid w:val="00CB3F4A"/>
    <w:rsid w:val="00D66266"/>
    <w:rsid w:val="00DD1431"/>
    <w:rsid w:val="00EF0C39"/>
    <w:rsid w:val="00FF2D0B"/>
    <w:rsid w:val="059464CB"/>
    <w:rsid w:val="08634780"/>
    <w:rsid w:val="1574621E"/>
    <w:rsid w:val="19AF7825"/>
    <w:rsid w:val="231A36B4"/>
    <w:rsid w:val="2B5244B4"/>
    <w:rsid w:val="3A102E31"/>
    <w:rsid w:val="3DCF230F"/>
    <w:rsid w:val="4FDE11D3"/>
    <w:rsid w:val="5B13515F"/>
    <w:rsid w:val="5B304AFC"/>
    <w:rsid w:val="6A222CC8"/>
    <w:rsid w:val="6AAC28E7"/>
    <w:rsid w:val="6FFC13FB"/>
    <w:rsid w:val="76D717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 w:type="paragraph" w:customStyle="1" w:styleId="9">
    <w:name w:val="Default"/>
    <w:qFormat/>
    <w:uiPriority w:val="0"/>
    <w:pPr>
      <w:widowControl w:val="0"/>
      <w:autoSpaceDE w:val="0"/>
      <w:autoSpaceDN w:val="0"/>
      <w:adjustRightInd w:val="0"/>
    </w:pPr>
    <w:rPr>
      <w:rFonts w:ascii="宋体" w:eastAsia="宋体" w:cs="宋体" w:hAnsiTheme="minorHAnsi"/>
      <w:color w:val="000000"/>
      <w:kern w:val="0"/>
      <w:sz w:val="24"/>
      <w:szCs w:val="24"/>
      <w:lang w:val="en-US" w:eastAsia="zh-CN" w:bidi="ar-SA"/>
    </w:rPr>
  </w:style>
  <w:style w:type="character" w:customStyle="1" w:styleId="10">
    <w:name w:val="NormalCharacter"/>
    <w:qFormat/>
    <w:uiPriority w:val="0"/>
    <w:rPr>
      <w:rFonts w:ascii="Cambria Math" w:hAnsi="Cambria Math" w:eastAsia="Arial Unicode MS" w:cs="Cambria Math"/>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1210</Words>
  <Characters>1241</Characters>
  <Lines>13</Lines>
  <Paragraphs>3</Paragraphs>
  <TotalTime>0</TotalTime>
  <ScaleCrop>false</ScaleCrop>
  <LinksUpToDate>false</LinksUpToDate>
  <CharactersWithSpaces>1251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2024-11-08T09:14:00Z</dcterms:created>
  <dc:creator>Administrator</dc:creator>
  <cp:lastModifiedBy>幸福么</cp:lastModifiedBy>
  <dcterms:modified xsi:type="dcterms:W3CDTF">2026-10-15T06:23:30Z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eyJoZGlkIjoiZTFlNTliMzFkNWEwMGM1Y2NhYTMwMWE1MzlhYzdjMmMiLCJ1c2VySWQiOiIyNzM5MDI3NzkifQ==</vt:lpwstr>
  </property>
  <property fmtid="{D5CDD505-2E9C-101B-9397-08002B2CF9AE}" pid="3" name="KSOProductBuildVer">
    <vt:lpwstr>2052-12.1.0.20784</vt:lpwstr>
  </property>
  <property fmtid="{D5CDD505-2E9C-101B-9397-08002B2CF9AE}" pid="4" name="ICV">
    <vt:lpwstr>B5169EE3882B48C09BE2E6E524CEE4F0_13</vt:lpwstr>
  </property>
</Properties>
</file>